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1b3d5c976c45af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13713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OSNOVNA ŠKOLA DOMAŠINEC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VI 2026.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718.895,02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777.804,37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108,2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800.977,13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768.267,20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95,9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POSLOVANJA (šifre 6-Z005)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9.537,17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21.347,52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14.320,01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67,1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21.347,52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14.320,01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67,1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103.429,63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4.782,84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4,6</w:t>
            </w:r>
          </w:p>
        </w:tc>
      </w:tr>
    </w:tbl>
    <w:p>
      <w:pPr>
        <w:spacing w:before="0" w:after="0"/>
      </w:pPr>
    </w:p>
    <w:p>
      <w:r>
        <w:t xml:space="preserve">Tijekom 2026. g. OŠ DOMAŠINEC je evidentirala poslovne promjene putem dvojnog knjigovodstva i to  po računima iz Računskog plana proračuna.</w:t>
      </w:r>
    </w:p>
    <w:p>
      <w:r>
        <w:t xml:space="preserve">1.     Bilješke uz obrazac PR-RAS</w:t>
      </w:r>
    </w:p>
    <w:p>
      <w:r>
        <w:t xml:space="preserve">Bilješka 1. Prihodi poslovanja</w:t>
      </w:r>
    </w:p>
    <w:p>
      <w:r>
        <w:t xml:space="preserve">Indeks ukupno ostvarenih prihoda poslovanja u izvještajnom  razdoblju od 01.01.2026. do 30.06.2026. godine u odnosu na isto izvještajno razdoblje prethodne godine iznosi 108,2 i do nešto većeg iznosa u 2026. godini došlo je prvenstveno zbog povećanja prihoda Ministarstva znanosti, obrazovanja i mladih potrebnih za pokriće troškova zaposlenih. Prihodi iz nadležnog proračuna za financiranje redovne djelatnosti su u porastu najviše radi obavljenih tehničkih pregleda i ispitivanja kotlovnice, bojlera.. Ostvareni su i prihodi iz nadležnog proračuna za financiranje rashoda za nabavu nefinancijske imovine koji se odnose na priključenje sportske dvorane na električnu mrežu.  </w:t>
      </w:r>
    </w:p>
    <w:p>
      <w:r>
        <w:t xml:space="preserve">            </w:t>
      </w:r>
    </w:p>
    <w:p>
      <w:r>
        <w:t xml:space="preserve">Bilješka 2. Rashodi poslovanja</w:t>
      </w:r>
    </w:p>
    <w:p>
      <w:r>
        <w:t xml:space="preserve">Na toj oznaci prikazani su ukupni rashodi poslovanja škole kojima je indeks 95,9 u odnosu na isto izvještajno razdoblje prethodne godine gdje je vidljivo smanjenje u rashodima za zaposlene.</w:t>
      </w:r>
    </w:p>
    <w:p>
      <w:r>
        <w:t xml:space="preserve">Rashodi za zaposlene prikazuju indeks smanjenja rashoda. </w:t>
      </w:r>
    </w:p>
    <w:p>
      <w:r>
        <w:t xml:space="preserve">Značajno su povećani troškovi Uredskog materijala i ostali materijalni rashodi (konto 3221) koji se u najvećem dijelu odnose na  materijal za nastavu. </w:t>
      </w:r>
    </w:p>
    <w:p>
      <w:r>
        <w:t xml:space="preserve">Ostale usluge (3239) imaju indeks 244,3 i ostali nespomenuti rashodi (3299) imaju indeks 324,2 radi veće realizacije terenske nastave.</w:t>
      </w:r>
    </w:p>
    <w:p>
      <w:r>
        <w:t xml:space="preserve"> </w:t>
      </w:r>
    </w:p>
    <w:p>
      <w:r>
        <w:t xml:space="preserve">            Bilješka 3. Rashodi za nabavu nefinancijske imovine </w:t>
      </w:r>
    </w:p>
    <w:p>
      <w:r>
        <w:t xml:space="preserve">Rashodi su manji u odnosu na prethodnu godinu radi manje nabave nefinancijske imovine.</w:t>
      </w:r>
    </w:p>
    <w:p>
      <w:r>
        <w:t xml:space="preserve"> </w:t>
      </w:r>
    </w:p>
    <w:p>
      <w:r>
        <w:t xml:space="preserve"> </w:t>
      </w:r>
    </w:p>
    <w:p>
      <w:r>
        <w:t xml:space="preserve"> 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2.     Izvještaj o obvezama</w:t>
      </w:r>
    </w:p>
    <w:p>
      <w:r>
        <w:t xml:space="preserve">Izvještaj u obvezama pokazuje stanje obveza u iznosu od 121.876,96 €, sve obveze su nedospjele.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p>
      <w:pPr>
        <w:jc w:val="both"/>
        <w:pStyle w:val="Normal"/>
        <w:spacing w:line="240" w:lineRule="auto"/>
      </w:pPr>
      <w:r>
        <w:rPr>
          <w:b/>
          <w:sz w:val="24"/>
          <w:rFonts w:ascii="Times New Roman" w:hAnsi="Times New Roman"/>
        </w:rPr>
        <w:t xml:space="preserve">EU izvještaj</w:t>
      </w:r>
    </w:p>
    <w:p>
      <w:r>
        <w:t xml:space="preserve">U EU izvještaju su iskazani prihodi i rashodi vezani uz projekt "Škole jednakih mogućnosti" - pomoćnici u nastavi. 10% troškova je financirano iz županijskog proračuna, dok se 90% troškova dijeli i to: 85% su europska sredstva i 15% je Nacionalno sufinanciranje za EU projekte, što je iskazano u ovom izvještaju.</w:t>
      </w:r>
    </w:p>
    <w:p>
      <w:r>
        <w:t xml:space="preserve"> </w:t>
      </w:r>
    </w:p>
    <w:p>
      <w:r>
        <w:t xml:space="preserve"> 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1de173e11074cd1" /></Relationships>
</file>